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105C" w14:textId="08905BC5" w:rsidR="004E1E4D" w:rsidRPr="004E1E4D" w:rsidRDefault="004E1E4D" w:rsidP="004E1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UA"/>
        </w:rPr>
      </w:pPr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Про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затвердження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Методичних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рекомендацій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щодо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визначення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результатів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виконання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завдань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державними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службовцями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,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які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  <w:proofErr w:type="spellStart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>займають</w:t>
      </w:r>
      <w:proofErr w:type="spellEnd"/>
      <w:r w:rsidRPr="004E1E4D">
        <w:rPr>
          <w:rFonts w:ascii="Arial" w:eastAsia="Times New Roman" w:hAnsi="Arial" w:cs="Arial"/>
          <w:color w:val="333333"/>
          <w:kern w:val="36"/>
          <w:sz w:val="48"/>
          <w:szCs w:val="48"/>
          <w:lang w:eastAsia="ru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4E1E4D" w:rsidRPr="004E1E4D" w14:paraId="5F96714B" w14:textId="77777777" w:rsidTr="004E1E4D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27D87" w14:textId="77777777" w:rsidR="004E1E4D" w:rsidRPr="004E1E4D" w:rsidRDefault="004E1E4D" w:rsidP="004E1E4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0" w:name="Text"/>
            <w:bookmarkStart w:id="1" w:name="n2"/>
            <w:bookmarkEnd w:id="0"/>
            <w:bookmarkEnd w:id="1"/>
            <w:r w:rsidRPr="004E1E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5CFDD655" wp14:editId="11145758">
                  <wp:extent cx="571500" cy="7620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E4D" w:rsidRPr="004E1E4D" w14:paraId="7555BFAF" w14:textId="77777777" w:rsidTr="004E1E4D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52E80" w14:textId="77777777" w:rsidR="004E1E4D" w:rsidRPr="004E1E4D" w:rsidRDefault="004E1E4D" w:rsidP="004E1E4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E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UA"/>
              </w:rPr>
              <w:t>НАЦІОНАЛЬНЕ АГЕНТСТВО УКРАЇНИ З ПИТАНЬ ДЕРЖАВНОЇ СЛУЖБИ</w:t>
            </w:r>
          </w:p>
        </w:tc>
      </w:tr>
      <w:tr w:rsidR="004E1E4D" w:rsidRPr="004E1E4D" w14:paraId="3A89AC37" w14:textId="77777777" w:rsidTr="004E1E4D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9EF2" w14:textId="77777777" w:rsidR="004E1E4D" w:rsidRPr="004E1E4D" w:rsidRDefault="004E1E4D" w:rsidP="004E1E4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E1E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UA"/>
              </w:rPr>
              <w:t>НАКАЗ</w:t>
            </w:r>
          </w:p>
        </w:tc>
      </w:tr>
      <w:tr w:rsidR="004E1E4D" w:rsidRPr="004E1E4D" w14:paraId="009BB93E" w14:textId="77777777" w:rsidTr="004E1E4D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A08F06" w14:textId="77777777" w:rsidR="004E1E4D" w:rsidRPr="004E1E4D" w:rsidRDefault="004E1E4D" w:rsidP="004E1E4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18.09.2020  № 174-20</w:t>
            </w:r>
          </w:p>
        </w:tc>
      </w:tr>
    </w:tbl>
    <w:p w14:paraId="711E2DC0" w14:textId="77777777" w:rsidR="004E1E4D" w:rsidRPr="004E1E4D" w:rsidRDefault="004E1E4D" w:rsidP="004E1E4D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" w:name="n3"/>
      <w:bookmarkEnd w:id="2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Про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Методичних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рекомендацій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займають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посади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категорій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"Б" і "В", та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висновку</w:t>
      </w:r>
      <w:proofErr w:type="spellEnd"/>
    </w:p>
    <w:p w14:paraId="2DCE21BA" w14:textId="77777777" w:rsidR="004E1E4D" w:rsidRPr="004E1E4D" w:rsidRDefault="004E1E4D" w:rsidP="004E1E4D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" w:name="n154"/>
      <w:bookmarkEnd w:id="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{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внесеними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Наказом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агентства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  <w:t xml:space="preserve">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hyperlink r:id="rId6" w:anchor="n2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№ 129-21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12.08.2021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}</w:t>
      </w:r>
    </w:p>
    <w:p w14:paraId="57F0AF1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" w:name="n4"/>
      <w:bookmarkEnd w:id="4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7" w:anchor="n69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пункту 9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агентство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постановою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01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жовтня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2014 року № 500, 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НАКАЗУЮ:</w:t>
      </w:r>
    </w:p>
    <w:p w14:paraId="4778F87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" w:name="n5"/>
      <w:bookmarkEnd w:id="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"https://zakon.rada.gov.ua/rada/show/v0174859-20" \l "n12"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Методичні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рекомендації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займають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посади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категорій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"Б" і "В", та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додаються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6E1C10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" w:name="n6"/>
      <w:bookmarkEnd w:id="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такими,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втратили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чинність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bookmarkStart w:id="7" w:name="n7"/>
    <w:bookmarkEnd w:id="7"/>
    <w:p w14:paraId="1DB71FC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"https://zakon.rada.gov.ua/rada/show/v0208859-18"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наказ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Національного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агентства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від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29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серпня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2018 року № 208-18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"Про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Методичних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рекомендацій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"Б" і "В";</w:t>
      </w:r>
    </w:p>
    <w:bookmarkStart w:id="8" w:name="n8"/>
    <w:bookmarkEnd w:id="8"/>
    <w:p w14:paraId="154B074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"https://zakon.rada.gov.ua/rada/show/v0177859-19"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наказ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Національного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агентства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від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24 вересня 2019 року № 177-19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"Про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внесення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змін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Методичних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рекомендацій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"Б" і "В".</w:t>
      </w:r>
    </w:p>
    <w:p w14:paraId="7A62536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" w:name="n9"/>
      <w:bookmarkEnd w:id="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3. Контроль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залишаю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4E1E4D" w:rsidRPr="004E1E4D" w14:paraId="2449FC25" w14:textId="77777777" w:rsidTr="004E1E4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25995D" w14:textId="77777777" w:rsidR="004E1E4D" w:rsidRPr="004E1E4D" w:rsidRDefault="004E1E4D" w:rsidP="004E1E4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0" w:name="n10"/>
            <w:bookmarkEnd w:id="10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Голова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58A2" w14:textId="77777777" w:rsidR="004E1E4D" w:rsidRPr="004E1E4D" w:rsidRDefault="004E1E4D" w:rsidP="004E1E4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Н. Алюшина</w:t>
            </w:r>
          </w:p>
        </w:tc>
      </w:tr>
    </w:tbl>
    <w:p w14:paraId="455AE13F" w14:textId="77777777" w:rsidR="004E1E4D" w:rsidRPr="004E1E4D" w:rsidRDefault="004E1E4D" w:rsidP="004E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1" w:name="n152"/>
      <w:bookmarkEnd w:id="1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28A76DE1"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4E1E4D" w:rsidRPr="004E1E4D" w14:paraId="3A01269D" w14:textId="77777777" w:rsidTr="004E1E4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800481" w14:textId="77777777" w:rsidR="004E1E4D" w:rsidRPr="004E1E4D" w:rsidRDefault="004E1E4D" w:rsidP="004E1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2" w:name="n11"/>
            <w:bookmarkEnd w:id="12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9A1CE" w14:textId="77777777" w:rsidR="004E1E4D" w:rsidRPr="004E1E4D" w:rsidRDefault="004E1E4D" w:rsidP="004E1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ЗАТВЕРДЖЕНО</w:t>
            </w: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Наказ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Національного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агентства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з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питань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державної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служби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18.09.2020 № 174-20</w:t>
            </w:r>
          </w:p>
        </w:tc>
      </w:tr>
    </w:tbl>
    <w:p w14:paraId="59333983" w14:textId="77777777" w:rsidR="004E1E4D" w:rsidRPr="004E1E4D" w:rsidRDefault="004E1E4D" w:rsidP="004E1E4D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" w:name="n12"/>
      <w:bookmarkEnd w:id="13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МЕТОДИЧНІ РЕКОМЕНДАЦІЇ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займають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посади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категорій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"Б" і "В", та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висновку</w:t>
      </w:r>
      <w:proofErr w:type="spellEnd"/>
    </w:p>
    <w:p w14:paraId="1D3246AF" w14:textId="77777777" w:rsidR="004E1E4D" w:rsidRPr="004E1E4D" w:rsidRDefault="004E1E4D" w:rsidP="004E1E4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" w:name="n13"/>
      <w:bookmarkEnd w:id="14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I.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Загальні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положення</w:t>
      </w:r>
      <w:proofErr w:type="spellEnd"/>
    </w:p>
    <w:p w14:paraId="2CCE773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" w:name="n14"/>
      <w:bookmarkEnd w:id="1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Методичні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рекомендації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розроблено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"https://zakon.rada.gov.ua/rada/show/889-19" \l "n518"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44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службу"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Закон), </w:t>
      </w:r>
      <w:hyperlink r:id="rId8" w:anchor="n11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Порядку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проведення</w:t>
        </w:r>
        <w:proofErr w:type="spellEnd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оцінювання</w:t>
        </w:r>
        <w:proofErr w:type="spellEnd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результатів</w:t>
        </w:r>
        <w:proofErr w:type="spellEnd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службової</w:t>
        </w:r>
        <w:proofErr w:type="spellEnd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діяльності</w:t>
        </w:r>
        <w:proofErr w:type="spellEnd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державних</w:t>
        </w:r>
        <w:proofErr w:type="spellEnd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службовців</w:t>
        </w:r>
        <w:proofErr w:type="spellEnd"/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постановою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23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серпня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2017 року № 640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Порядок).</w:t>
      </w:r>
    </w:p>
    <w:p w14:paraId="07C0A2C6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" w:name="n15"/>
      <w:bookmarkEnd w:id="1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Методичні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рекомендації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застосовувати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службам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служба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персоналом)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займають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"Б" і "В"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043129F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" w:name="n16"/>
      <w:bookmarkEnd w:id="1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Методичні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рекомендації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застосовувати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час:</w:t>
      </w:r>
    </w:p>
    <w:p w14:paraId="6D23F71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" w:name="n17"/>
      <w:bookmarkEnd w:id="18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проекту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проект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списком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форма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17CB320E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" w:name="n155"/>
      <w:bookmarkEnd w:id="19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другий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3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розділу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I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Наказом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Національного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агентства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hyperlink r:id="rId9" w:anchor="n7" w:tgtFrame="_blank" w:history="1"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129-21 </w:t>
        </w:r>
        <w:proofErr w:type="spellStart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12.08.2021</w:t>
        </w:r>
      </w:hyperlink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694C10EF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" w:name="n18"/>
      <w:bookmarkEnd w:id="20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ним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632967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" w:name="n19"/>
      <w:bookmarkEnd w:id="2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вважати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7DC30D7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" w:name="n20"/>
      <w:bookmarkEnd w:id="2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EE7D3C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" w:name="n21"/>
      <w:bookmarkEnd w:id="23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EB4AC2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4" w:name="n22"/>
      <w:bookmarkEnd w:id="24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керівника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43CF76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5" w:name="n23"/>
      <w:bookmarkEnd w:id="25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1EB52A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6" w:name="n24"/>
      <w:bookmarkEnd w:id="2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службу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персоналом.</w:t>
      </w:r>
    </w:p>
    <w:p w14:paraId="7BCF9C26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7" w:name="n25"/>
      <w:bookmarkEnd w:id="2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10" w:anchor="n338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пункту 13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жовтні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1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січня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поточного 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6A64DD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8" w:name="n26"/>
      <w:bookmarkEnd w:id="2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дотримуватися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алгоритму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1504606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9" w:name="n27"/>
      <w:bookmarkEnd w:id="2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1) для служб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персоналом:</w:t>
      </w:r>
    </w:p>
    <w:p w14:paraId="63F35DEE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0" w:name="n28"/>
      <w:bookmarkEnd w:id="30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проекту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A675FB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1" w:name="n29"/>
      <w:bookmarkEnd w:id="31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процедури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AD074D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2" w:name="n30"/>
      <w:bookmarkEnd w:id="32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збір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форм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узагальнення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таких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A1ED86F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3" w:name="n31"/>
      <w:bookmarkEnd w:id="33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передача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підсумками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C61F7F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4" w:name="n32"/>
      <w:bookmarkEnd w:id="34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"n121"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5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до Порядку та проекту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5735A56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5" w:name="n33"/>
      <w:bookmarkEnd w:id="35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1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Законом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55D5C4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6" w:name="n34"/>
      <w:bookmarkEnd w:id="36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причин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9A9CAC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7" w:name="n35"/>
      <w:bookmarkEnd w:id="3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2)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31D472CF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8" w:name="n36"/>
      <w:bookmarkEnd w:id="38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E452C1E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9" w:name="n37"/>
      <w:bookmarkEnd w:id="39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збір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аналіз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форм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відомостей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себе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EBA483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0" w:name="n38"/>
      <w:bookmarkEnd w:id="40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переліку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B719DEE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1" w:name="n39"/>
      <w:bookmarkEnd w:id="41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завершення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0C48A9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2" w:name="n40"/>
      <w:bookmarkEnd w:id="42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результатами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передача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персоналом;</w:t>
      </w:r>
    </w:p>
    <w:p w14:paraId="6F06194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3" w:name="n41"/>
      <w:bookmarkEnd w:id="43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обґрунтованості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5805734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4" w:name="n42"/>
      <w:bookmarkEnd w:id="4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3)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6423DEE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5" w:name="n43"/>
      <w:bookmarkEnd w:id="45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F2A3C26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6" w:name="n44"/>
      <w:bookmarkEnd w:id="46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аналіз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ефективності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-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відомостей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себе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252528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7" w:name="n45"/>
      <w:bookmarkEnd w:id="47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B35AF6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8" w:name="n46"/>
      <w:bookmarkEnd w:id="48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результатами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65970DD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9" w:name="n47"/>
      <w:bookmarkEnd w:id="49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обґрунтованості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6EFB8C0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0" w:name="n48"/>
      <w:bookmarkEnd w:id="50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3380A5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1" w:name="n49"/>
      <w:bookmarkEnd w:id="5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4)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57F07F3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2" w:name="n50"/>
      <w:bookmarkEnd w:id="52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404C7CB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3" w:name="n51"/>
      <w:bookmarkEnd w:id="53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вивчення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заслуховування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обґрунтованості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159C40F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4" w:name="n52"/>
      <w:bookmarkEnd w:id="54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BC3612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5" w:name="n158"/>
      <w:bookmarkEnd w:id="5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12" w:anchor="n492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пункту 9</w:t>
        </w:r>
      </w:hyperlink>
      <w:hyperlink r:id="rId13" w:anchor="n492" w:tgtFrame="_blank" w:history="1">
        <w:r w:rsidRPr="004E1E4D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UA"/>
          </w:rPr>
          <w:t>-</w:t>
        </w:r>
        <w:r w:rsidRPr="004E1E4D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Порядком,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паперовій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використанням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власноручних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накладенням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кваліфікованих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підписів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1729F4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6" w:name="n159"/>
      <w:bookmarkEnd w:id="56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Обговорення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етапах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можуть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проводитися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фізичної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присутності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учасників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дистанційно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застосування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технічних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засобів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5557B1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7" w:name="n160"/>
      <w:bookmarkEnd w:id="5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карантину,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законодавства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зокрема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протиепідемічних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заходів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головним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санітарним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лікарем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B5F73A6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8" w:name="n161"/>
      <w:bookmarkEnd w:id="58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7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розділу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I в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Наказу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Національного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агентства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hyperlink r:id="rId14" w:anchor="n8" w:tgtFrame="_blank" w:history="1"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129-21 </w:t>
        </w:r>
        <w:proofErr w:type="spellStart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12.08.2021</w:t>
        </w:r>
      </w:hyperlink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7E488F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9" w:name="n164"/>
      <w:bookmarkEnd w:id="5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8.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15" w:anchor="n408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пункту 36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"Б"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"В",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обов'язків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розпорядчого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акта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обов'язків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розподілом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обов'язків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положень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16" w:anchor="n321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пункту 8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відношенню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посади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5662CB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0" w:name="n165"/>
      <w:bookmarkEnd w:id="60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{Пункт 8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розділу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I в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редакції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Наказу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Національного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агентства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hyperlink r:id="rId17" w:anchor="n12" w:tgtFrame="_blank" w:history="1"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129-21 </w:t>
        </w:r>
        <w:proofErr w:type="spellStart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12.08.2021</w:t>
        </w:r>
      </w:hyperlink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5BCF286C" w14:textId="77777777" w:rsidR="004E1E4D" w:rsidRPr="004E1E4D" w:rsidRDefault="004E1E4D" w:rsidP="004E1E4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1" w:name="n55"/>
      <w:bookmarkEnd w:id="61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II.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Прийняття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наказу (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завдань</w:t>
      </w:r>
      <w:proofErr w:type="spellEnd"/>
    </w:p>
    <w:p w14:paraId="354EA84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2" w:name="n56"/>
      <w:bookmarkEnd w:id="6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"n317"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абзаців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першого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та </w:t>
      </w:r>
      <w:hyperlink r:id="rId18" w:anchor="n318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другого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6 Порядку служба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персоналом,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консультативну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допомогу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учасникам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заходи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тому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числі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проекту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списком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59B6F7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3" w:name="n57"/>
      <w:bookmarkEnd w:id="6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З метою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належної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службам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державного органу,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штатна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чисельність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перевищує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50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осіб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розпочати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проекту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подати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пізніше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05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жовтня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року.</w:t>
      </w:r>
    </w:p>
    <w:p w14:paraId="5710B5E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4" w:name="n58"/>
      <w:bookmarkEnd w:id="6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"n345"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абзаців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першого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- четвертого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15 Порядку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приймається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371F07D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5" w:name="n59"/>
      <w:bookmarkEnd w:id="6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список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C7C309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6" w:name="n60"/>
      <w:bookmarkEnd w:id="6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строк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3613C9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7" w:name="n61"/>
      <w:bookmarkEnd w:id="67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доручення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потреби).</w:t>
      </w:r>
    </w:p>
    <w:p w14:paraId="445E52F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8" w:name="n62"/>
      <w:bookmarkEnd w:id="6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списку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враховувати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"n321"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пунктів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та </w:t>
      </w:r>
      <w:hyperlink r:id="rId19" w:anchor="n339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14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Порядку, 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71A2572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9" w:name="n63"/>
      <w:bookmarkEnd w:id="6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обов'язків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вакантною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обов'язків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проводиться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тією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яку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BF54EB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0" w:name="n64"/>
      <w:bookmarkEnd w:id="70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проводиться,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дату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0CD90E6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1" w:name="n65"/>
      <w:bookmarkEnd w:id="71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менше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місяців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7E0A7C7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2" w:name="n66"/>
      <w:bookmarkEnd w:id="72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перебуває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зв'язку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вагітністю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пологами, для догляду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дитиною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трирічного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без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збереження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заробітної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плати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"https://zakon.rada.gov.ua/rada/show/504/96-%D0%B2%D1%80" \l "n272"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пунктів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3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, </w:t>
      </w:r>
      <w:hyperlink r:id="rId20" w:anchor="n274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3</w:t>
        </w:r>
      </w:hyperlink>
      <w:hyperlink r:id="rId21" w:anchor="n274" w:tgtFrame="_blank" w:history="1">
        <w:r w:rsidRPr="004E1E4D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UA"/>
          </w:rPr>
          <w:t>-</w:t>
        </w:r>
        <w:r w:rsidRPr="004E1E4D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UA"/>
          </w:rPr>
          <w:t>1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і </w:t>
      </w:r>
      <w:hyperlink r:id="rId22" w:anchor="n295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18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першої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25 Закону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";</w:t>
      </w:r>
    </w:p>
    <w:p w14:paraId="7356463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3" w:name="n166"/>
      <w:bookmarkEnd w:id="73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{Абзац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п'ятий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пункту 4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розділу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II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змінами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внесеними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Наказом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Національного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агентства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 </w:t>
      </w:r>
      <w:hyperlink r:id="rId23" w:anchor="n14" w:tgtFrame="_blank" w:history="1"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№ 129-21 </w:t>
        </w:r>
        <w:proofErr w:type="spellStart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>від</w:t>
        </w:r>
        <w:proofErr w:type="spellEnd"/>
        <w:r w:rsidRPr="004E1E4D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UA"/>
          </w:rPr>
          <w:t xml:space="preserve"> 12.08.2021</w:t>
        </w:r>
      </w:hyperlink>
      <w:r w:rsidRPr="004E1E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UA"/>
        </w:rPr>
        <w:t>}</w:t>
      </w:r>
    </w:p>
    <w:p w14:paraId="4FD0630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4" w:name="n67"/>
      <w:bookmarkEnd w:id="74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зв'язку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призовом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строкову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призовом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осіб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офіцерського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складу,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призовом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мобілізації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особливий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прийняттям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службу за контрактом,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зокрема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шляхом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укладення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нового контракту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військової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особливого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874D70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5" w:name="n68"/>
      <w:bookmarkEnd w:id="75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зв'язку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спеціальної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кандидатами на посаду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"https://zakon.rada.gov.ua/rada/show/1402-19" \l "n693"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77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судоустрій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статус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суддів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";</w:t>
      </w:r>
    </w:p>
    <w:p w14:paraId="056A9B5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6" w:name="n69"/>
      <w:bookmarkEnd w:id="76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відсторонений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обов'язків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повноважень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законом.</w:t>
      </w:r>
    </w:p>
    <w:p w14:paraId="65D6F48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7" w:name="n70"/>
      <w:bookmarkEnd w:id="7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дотримуватися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24" w:anchor="n351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сьомого</w:t>
        </w:r>
        <w:proofErr w:type="spellEnd"/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15 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встановлюється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того,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безпосередніх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підпорядкованих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26F022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8" w:name="n71"/>
      <w:bookmarkEnd w:id="7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узгодити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кінцевий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строк:</w:t>
      </w:r>
    </w:p>
    <w:p w14:paraId="77B1A33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9" w:name="n72"/>
      <w:bookmarkEnd w:id="7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74CEB4FE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0" w:name="n73"/>
      <w:bookmarkEnd w:id="80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відомостей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себе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3902608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1" w:name="n74"/>
      <w:bookmarkEnd w:id="8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заяви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зв'язку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відрядженням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2B3EA07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2" w:name="n75"/>
      <w:bookmarkEnd w:id="8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4) початку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завершення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C9EEB9F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3" w:name="n76"/>
      <w:bookmarkEnd w:id="8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17C1E5F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4" w:name="n77"/>
      <w:bookmarkEnd w:id="8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049F045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5" w:name="n78"/>
      <w:bookmarkEnd w:id="8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проекту наказу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376B43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6" w:name="n79"/>
      <w:bookmarkEnd w:id="8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З метою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якісного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опрацювання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перерву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менше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двох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між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BEC21FB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7" w:name="n80"/>
      <w:bookmarkEnd w:id="87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штатна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чисельність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органу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перевищує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50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осіб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розробити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графік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рекомендацій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пункту.</w:t>
      </w:r>
    </w:p>
    <w:p w14:paraId="0CE0740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8" w:name="n81"/>
      <w:bookmarkEnd w:id="8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7.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виникнення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додаткових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дорученнях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узгодити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доручення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9CFDBDB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9" w:name="n82"/>
      <w:bookmarkEnd w:id="89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Наприклад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узгодити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дату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632139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0" w:name="n83"/>
      <w:bookmarkEnd w:id="90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8.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довести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інформацію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про:</w:t>
      </w:r>
    </w:p>
    <w:p w14:paraId="5A262FB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1" w:name="n84"/>
      <w:bookmarkEnd w:id="91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етапи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0601719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2" w:name="n85"/>
      <w:bookmarkEnd w:id="9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строк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графік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);</w:t>
      </w:r>
    </w:p>
    <w:p w14:paraId="006FC69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3" w:name="n86"/>
      <w:bookmarkEnd w:id="93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кінцевий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заяви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він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припадає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5B213CD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4" w:name="n87"/>
      <w:bookmarkEnd w:id="9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порядок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відомостей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себе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;</w:t>
      </w:r>
    </w:p>
    <w:p w14:paraId="25278BE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5" w:name="n88"/>
      <w:bookmarkEnd w:id="9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порядок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92ED7A9" w14:textId="77777777" w:rsidR="004E1E4D" w:rsidRPr="004E1E4D" w:rsidRDefault="004E1E4D" w:rsidP="004E1E4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6" w:name="n89"/>
      <w:bookmarkEnd w:id="96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III.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співбесіди</w:t>
      </w:r>
      <w:proofErr w:type="spellEnd"/>
    </w:p>
    <w:p w14:paraId="151457D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7" w:name="n90"/>
      <w:bookmarkEnd w:id="9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5" w:anchor="n320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пункту 7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посадових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обов'язків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дотримання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ним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загальних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правил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етичної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поведінки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законодавства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сфері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запобігання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корупції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879DCA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8" w:name="n91"/>
      <w:bookmarkEnd w:id="9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2. 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"n409"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першим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37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спільно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проводить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612791E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9" w:name="n92"/>
      <w:bookmarkEnd w:id="9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6" w:anchor="n411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38 Порядку перед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до Порядку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відомостей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себе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займаної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DBD18D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0" w:name="n93"/>
      <w:bookmarkEnd w:id="100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чітко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коротко та по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обґрунтовуючи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кожен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окремо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A6EB8A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1" w:name="n94"/>
      <w:bookmarkEnd w:id="10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Строк фактичного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окремо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4AE187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2" w:name="n95"/>
      <w:bookmarkEnd w:id="10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4. 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"n413"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першим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39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довільній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визначаються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розглядаються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5ED392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3" w:name="n96"/>
      <w:bookmarkEnd w:id="10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визначитися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лише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8B5DEA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4" w:name="n97"/>
      <w:bookmarkEnd w:id="10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невиконані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причини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і/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причини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порушення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загальну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У такому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інформацію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додаткові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ініціативи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ході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наприклад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удосконалення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42AF4C6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5" w:name="n98"/>
      <w:bookmarkEnd w:id="10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переглянуті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форму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вносити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останню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редакцію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перегляду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EFD167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6" w:name="n99"/>
      <w:bookmarkEnd w:id="10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8.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подати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електронному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вигляді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 строк.</w:t>
      </w:r>
    </w:p>
    <w:p w14:paraId="0E529D9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7" w:name="n100"/>
      <w:bookmarkEnd w:id="10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9.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зосередити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увагу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питаннях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висвітлено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ним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127511C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8" w:name="n101"/>
      <w:bookmarkEnd w:id="10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10.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перед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переглянути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моніторингу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 метою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виявлення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могли бути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через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обставини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об'єктивно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унеможливили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міг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пропонувати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спосіб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037202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09" w:name="n102"/>
      <w:bookmarkEnd w:id="10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11.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подано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опису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розрізі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строку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підтверджує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підготовці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підготувати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перелік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запитань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уточнення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інформації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фактичного стану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зумовили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DD89E5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0" w:name="n103"/>
      <w:bookmarkEnd w:id="110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Рекомендований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перелік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наведено в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"https://zakon.rada.gov.ua/rada/show/v0174859-20" \l "n141"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додатку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Методичних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рекомендацій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A3EDE8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1" w:name="n104"/>
      <w:bookmarkEnd w:id="111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задавати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чітко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метою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інформації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8EB84A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2" w:name="n105"/>
      <w:bookmarkEnd w:id="11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12.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спільно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кожним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E4C1F6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3" w:name="n106"/>
      <w:bookmarkEnd w:id="11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Перед початком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повідомити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час,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орієнтовну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тривалість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процедуру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95DA97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4" w:name="n107"/>
      <w:bookmarkEnd w:id="114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тривалістю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більше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30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хвилин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93B9F4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5" w:name="n108"/>
      <w:bookmarkEnd w:id="115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скеровувати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розкриття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уникнення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деталізації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повторень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1F5A980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6" w:name="n109"/>
      <w:bookmarkEnd w:id="11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13.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7" w:anchor="n410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абзацу другого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37 Порядку,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повторної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неявки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проходження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строки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проводиться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без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установлений строк.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зв'язку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відрядженням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відпусткою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заявою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проводяться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раніше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18601B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7" w:name="n110"/>
      <w:bookmarkEnd w:id="11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14.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узгодити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CFD3295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8" w:name="n111"/>
      <w:bookmarkEnd w:id="118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продемонстрував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приділити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увагу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розвитку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тих компетентностей,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зайняття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посади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вищого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рівня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88A5B4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19" w:name="n112"/>
      <w:bookmarkEnd w:id="119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порушенням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допомогою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працівників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приділити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увагу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компетентностям,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допоможуть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підвищити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ефективність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покладених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EDC111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0" w:name="n113"/>
      <w:bookmarkEnd w:id="120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формою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до 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обравши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переліку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компетентності,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потребують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удосконалення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B87E9C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1" w:name="n114"/>
      <w:bookmarkEnd w:id="12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кількості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компетентностей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виділити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компетентностей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ознакою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пріоритетності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посади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істотного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впливу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компетентності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деталізувати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враховуючи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спеціальні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вимоги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посади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8207C5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2" w:name="n115"/>
      <w:bookmarkEnd w:id="12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15.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час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розглянути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обговорити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наступний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період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14FEC66" w14:textId="77777777" w:rsidR="004E1E4D" w:rsidRPr="004E1E4D" w:rsidRDefault="004E1E4D" w:rsidP="004E1E4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3" w:name="n116"/>
      <w:bookmarkEnd w:id="123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IV.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затвердження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висновку</w:t>
      </w:r>
      <w:proofErr w:type="spellEnd"/>
    </w:p>
    <w:p w14:paraId="222D057C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4" w:name="n117"/>
      <w:bookmarkEnd w:id="12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1. 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"n414"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другим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39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заповнюється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до Порядку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потреб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навчанні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спільно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самостійного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структурного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позитивну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крім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коли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розрахунку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середнього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бала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кожного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урахуванням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критеріями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"n118"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4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до Порядку.</w:t>
      </w:r>
    </w:p>
    <w:p w14:paraId="3438266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5" w:name="n118"/>
      <w:bookmarkEnd w:id="12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значенні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"0" до "4"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"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окремо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кожне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критеріїв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"n118"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додатку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4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до Порядку.</w:t>
      </w:r>
    </w:p>
    <w:p w14:paraId="6926651B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6" w:name="n119"/>
      <w:bookmarkEnd w:id="12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графі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"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аргументувати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ним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Наприклад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згоден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досягнутим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результатом,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такому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незгоду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101AA4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7" w:name="n120"/>
      <w:bookmarkEnd w:id="127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успішно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виставив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значенні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"4",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зокрема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вносилися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удосконалення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7EE4E18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8" w:name="n121"/>
      <w:bookmarkEnd w:id="12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За результатами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розрахунку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середнього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бала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позначку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графі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"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"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графу "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", коротко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аргументуючи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позитивну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C36C29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29" w:name="n122"/>
      <w:bookmarkEnd w:id="129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8" w:anchor="n415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пункту 40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установленому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порядку форму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до Порядку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BD2FD6E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0" w:name="n123"/>
      <w:bookmarkEnd w:id="130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без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співбесіди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без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відмітки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зобов'язаний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>ознайомитися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результатами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п'яти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після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виходу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роботу.</w:t>
      </w:r>
    </w:p>
    <w:p w14:paraId="18514D1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1" w:name="n124"/>
      <w:bookmarkEnd w:id="13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"https://zakon.rada.gov.ua/rada/show/889-19" \l "n527"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частини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восьмої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44 Закону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право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висловити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долучаються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справи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2081799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2" w:name="n125"/>
      <w:bookmarkEnd w:id="132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наявності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подати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вигляді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наказі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 строк.</w:t>
      </w:r>
    </w:p>
    <w:p w14:paraId="0B7DF5B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3" w:name="n126"/>
      <w:bookmarkEnd w:id="13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7. 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"n462"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першим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40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служба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узагальнює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A47481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4" w:name="n127"/>
      <w:bookmarkEnd w:id="13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8. 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"n463"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другим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40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підсумками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служба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інформує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поставлених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ключових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показників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заповнену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форму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рік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до 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зауваження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1BA675F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5" w:name="n128"/>
      <w:bookmarkEnd w:id="135"/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письмово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5C075B0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6" w:name="n129"/>
      <w:bookmarkEnd w:id="13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9.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"n464"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абзаців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третього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- четвертого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40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для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встановлення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обґрунтованості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вивчає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заслуховує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пояснення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та/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безпосереднього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13B98B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7" w:name="n130"/>
      <w:bookmarkEnd w:id="13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необґрунтованості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виставленої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обґрунтування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8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та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такою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У такому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процедура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припиняється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65DC24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8" w:name="n131"/>
      <w:bookmarkEnd w:id="13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10. 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"n417"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першим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41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виставляється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негативна, позитивна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формою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"n121"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додатком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5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до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наказом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bookmarkStart w:id="139" w:name="n132"/>
    <w:bookmarkEnd w:id="139"/>
    <w:p w14:paraId="55F1E61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"n418"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другим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41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коли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жодне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випадку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"https://zakon.rada.gov.ua/rada/show/640-2017-%D0%BF" \l "n465"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абзацом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четвертим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пункту 40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UA"/>
        </w:rPr>
        <w:t>-</w:t>
      </w:r>
      <w:r w:rsidRPr="004E1E4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UA"/>
        </w:rPr>
        <w:t>1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зазначаються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такого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C140BB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0" w:name="n133"/>
      <w:bookmarkEnd w:id="140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11.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29" w:anchor="n352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 xml:space="preserve">абзацу </w:t>
        </w:r>
        <w:proofErr w:type="spellStart"/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першого</w:t>
        </w:r>
        <w:proofErr w:type="spellEnd"/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16 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наказом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суб'єкта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грудні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звітного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року.</w:t>
      </w:r>
    </w:p>
    <w:p w14:paraId="6811664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1" w:name="n134"/>
      <w:bookmarkEnd w:id="14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12.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hyperlink r:id="rId30" w:anchor="n353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абзацу другого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пункту 16 Порядку служба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персоналом,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працює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службовець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ознайомлює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hyperlink r:id="rId31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Законом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E8CCD76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2" w:name="n135"/>
      <w:bookmarkEnd w:id="14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13.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тимчасової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відсутності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управління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персоналом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рекомендується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протягом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трьох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робочих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днів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надіслати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поштову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адресу,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зазначену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особовій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AB31FC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3" w:name="n136"/>
      <w:bookmarkEnd w:id="14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14.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"https://zakon.rada.gov.ua/rada/show/889-19" \l "n526"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частини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сьомої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44 Закону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висновок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містить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негативну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бути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оскаржений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службовцем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порядку,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"https://zakon.rada.gov.ua/rada/show/889-19" \l "n154"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статтею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11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Закону.</w:t>
      </w:r>
    </w:p>
    <w:p w14:paraId="44D5FA9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4" w:name="n137"/>
      <w:bookmarkEnd w:id="14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15.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"https://zakon.rada.gov.ua/rada/show/889-19" \l "n528" \t "_blank" </w:instrTex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частиною</w:t>
      </w:r>
      <w:proofErr w:type="spellEnd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дев'ятою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статті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44 Закону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діяльності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підлягають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преміюванню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Закону.</w:t>
      </w:r>
    </w:p>
    <w:p w14:paraId="5FFA633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5" w:name="n138"/>
      <w:bookmarkEnd w:id="14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16. </w:t>
      </w:r>
      <w:hyperlink r:id="rId32" w:anchor="n354" w:tgtFrame="_blank" w:history="1">
        <w:r w:rsidRPr="004E1E4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UA"/>
          </w:rPr>
          <w:t>Пунктом 17</w:t>
        </w:r>
      </w:hyperlink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Порядку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наказ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розпорядження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державному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преміювання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службовців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отримали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відмінні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оцінки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результатами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видається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підставі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висновків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4E1E4D" w:rsidRPr="004E1E4D" w14:paraId="73D69341" w14:textId="77777777" w:rsidTr="004E1E4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BD2D51" w14:textId="77777777" w:rsidR="004E1E4D" w:rsidRPr="004E1E4D" w:rsidRDefault="004E1E4D" w:rsidP="004E1E4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46" w:name="n139"/>
            <w:bookmarkEnd w:id="146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Директор Генерального</w:t>
            </w: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департаменту з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питань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управління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персоналом</w:t>
            </w: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на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державній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службі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та в органах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місцевого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самоврядування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804B54" w14:textId="77777777" w:rsidR="004E1E4D" w:rsidRPr="004E1E4D" w:rsidRDefault="004E1E4D" w:rsidP="004E1E4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Ю.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Лозюк</w:t>
            </w:r>
            <w:proofErr w:type="spellEnd"/>
          </w:p>
        </w:tc>
      </w:tr>
    </w:tbl>
    <w:p w14:paraId="09DC183B" w14:textId="77777777" w:rsidR="004E1E4D" w:rsidRPr="004E1E4D" w:rsidRDefault="004E1E4D" w:rsidP="004E1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47" w:name="n153"/>
      <w:bookmarkEnd w:id="14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pict w14:anchorId="3A2F2B2D"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400"/>
      </w:tblGrid>
      <w:tr w:rsidR="004E1E4D" w:rsidRPr="004E1E4D" w14:paraId="6CB20381" w14:textId="77777777" w:rsidTr="004E1E4D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9A4D66" w14:textId="77777777" w:rsidR="004E1E4D" w:rsidRPr="004E1E4D" w:rsidRDefault="004E1E4D" w:rsidP="004E1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48" w:name="n140"/>
            <w:bookmarkEnd w:id="148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982436" w14:textId="77777777" w:rsidR="004E1E4D" w:rsidRPr="004E1E4D" w:rsidRDefault="004E1E4D" w:rsidP="004E1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Додаток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до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Методичних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рекомендацій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щодо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визначення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результатів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виконання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завдань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державними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службовцями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які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займають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посади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державної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служби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категорій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"Б" і "В", та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затвердження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висновку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  <w:t xml:space="preserve">(абзац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другий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пункту 11 </w:t>
            </w:r>
            <w:proofErr w:type="spellStart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розділу</w:t>
            </w:r>
            <w:proofErr w:type="spellEnd"/>
            <w:r w:rsidRPr="004E1E4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III)</w:t>
            </w:r>
          </w:p>
        </w:tc>
      </w:tr>
    </w:tbl>
    <w:p w14:paraId="043D6E8B" w14:textId="77777777" w:rsidR="004E1E4D" w:rsidRPr="004E1E4D" w:rsidRDefault="004E1E4D" w:rsidP="004E1E4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9" w:name="n141"/>
      <w:bookmarkEnd w:id="149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РЕКОМЕНДОВАНИЙ ПЕРЕЛІК</w:t>
      </w:r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питань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для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проведення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оціночної</w:t>
      </w:r>
      <w:proofErr w:type="spellEnd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UA"/>
        </w:rPr>
        <w:t>співбесіди</w:t>
      </w:r>
      <w:proofErr w:type="spellEnd"/>
    </w:p>
    <w:p w14:paraId="43C67594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0" w:name="n142"/>
      <w:bookmarkEnd w:id="150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Як, на вашу думку,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можна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було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покращити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підвищити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практичну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цінність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2F99999D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1" w:name="n143"/>
      <w:bookmarkEnd w:id="151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полягає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причина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порушення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строків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32A6F6A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2" w:name="n144"/>
      <w:bookmarkEnd w:id="152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проявляли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низьку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ініціативність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4A5022C1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3" w:name="n145"/>
      <w:bookmarkEnd w:id="153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Назвіть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причину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вашої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низької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самоорганізації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адже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виконанні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спостерігалася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несамостійність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потрібно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було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нагадувати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про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необхідність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його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7F521CA7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4" w:name="n146"/>
      <w:bookmarkEnd w:id="154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можете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назвати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до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вносили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пропозиції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щодо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удосконалення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0C222B02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5" w:name="n147"/>
      <w:bookmarkEnd w:id="155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Яке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було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складним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вас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15D8946A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6" w:name="n148"/>
      <w:bookmarkEnd w:id="156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7. Яке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визначених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було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найбільш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цікавим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чому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30C27230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7" w:name="n149"/>
      <w:bookmarkEnd w:id="157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8. Як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покращили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виконання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своїх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завдань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якби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вас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була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така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можливість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2EA36073" w14:textId="77777777" w:rsidR="004E1E4D" w:rsidRPr="004E1E4D" w:rsidRDefault="004E1E4D" w:rsidP="004E1E4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8" w:name="n150"/>
      <w:bookmarkEnd w:id="158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9.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виконали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індивідуальну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програму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професійного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розвитку</w:t>
      </w:r>
      <w:proofErr w:type="spellEnd"/>
      <w:r w:rsidRPr="004E1E4D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?</w:t>
      </w:r>
    </w:p>
    <w:p w14:paraId="16F85575" w14:textId="77777777" w:rsidR="00F23E18" w:rsidRDefault="00F23E18">
      <w:bookmarkStart w:id="159" w:name="n151"/>
      <w:bookmarkEnd w:id="159"/>
    </w:p>
    <w:sectPr w:rsidR="00F2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976"/>
    <w:multiLevelType w:val="multilevel"/>
    <w:tmpl w:val="689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7DF0"/>
    <w:multiLevelType w:val="multilevel"/>
    <w:tmpl w:val="4358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187666">
    <w:abstractNumId w:val="0"/>
  </w:num>
  <w:num w:numId="2" w16cid:durableId="83148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8"/>
    <w:rsid w:val="004E1E4D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60FF-DC30-4182-AB50-5FE6D56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52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E3E3E3"/>
                    <w:right w:val="single" w:sz="6" w:space="0" w:color="E3E3E3"/>
                  </w:divBdr>
                  <w:divsChild>
                    <w:div w:id="11108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440">
                  <w:marLeft w:val="0"/>
                  <w:marRight w:val="0"/>
                  <w:marTop w:val="0"/>
                  <w:marBottom w:val="0"/>
                  <w:divBdr>
                    <w:top w:val="single" w:sz="6" w:space="6" w:color="C3D6F5"/>
                    <w:left w:val="single" w:sz="6" w:space="12" w:color="C3D6F5"/>
                    <w:bottom w:val="single" w:sz="6" w:space="6" w:color="CAE8FC"/>
                    <w:right w:val="single" w:sz="6" w:space="12" w:color="CAE8FC"/>
                  </w:divBdr>
                  <w:divsChild>
                    <w:div w:id="19122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1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88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232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0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4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3308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260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852998">
          <w:marLeft w:val="30"/>
          <w:marRight w:val="30"/>
          <w:marTop w:val="60"/>
          <w:marBottom w:val="60"/>
          <w:divBdr>
            <w:top w:val="single" w:sz="6" w:space="0" w:color="162237"/>
            <w:left w:val="single" w:sz="6" w:space="0" w:color="162237"/>
            <w:bottom w:val="single" w:sz="6" w:space="0" w:color="162237"/>
            <w:right w:val="single" w:sz="6" w:space="0" w:color="16223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640-2017-%D0%BF" TargetMode="External"/><Relationship Id="rId13" Type="http://schemas.openxmlformats.org/officeDocument/2006/relationships/hyperlink" Target="https://zakon.rada.gov.ua/rada/show/640-2017-%D0%BF" TargetMode="External"/><Relationship Id="rId18" Type="http://schemas.openxmlformats.org/officeDocument/2006/relationships/hyperlink" Target="https://zakon.rada.gov.ua/rada/show/640-2017-%D0%BF" TargetMode="External"/><Relationship Id="rId26" Type="http://schemas.openxmlformats.org/officeDocument/2006/relationships/hyperlink" Target="https://zakon.rada.gov.ua/rada/show/640-2017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rada/show/504/96-%D0%B2%D1%8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kon.rada.gov.ua/rada/show/500-2014-%D0%BF" TargetMode="External"/><Relationship Id="rId12" Type="http://schemas.openxmlformats.org/officeDocument/2006/relationships/hyperlink" Target="https://zakon.rada.gov.ua/rada/show/640-2017-%D0%BF" TargetMode="External"/><Relationship Id="rId17" Type="http://schemas.openxmlformats.org/officeDocument/2006/relationships/hyperlink" Target="https://zakon.rada.gov.ua/rada/show/v0129859-21" TargetMode="External"/><Relationship Id="rId25" Type="http://schemas.openxmlformats.org/officeDocument/2006/relationships/hyperlink" Target="https://zakon.rada.gov.ua/rada/show/640-2017-%D0%B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640-2017-%D0%BF" TargetMode="External"/><Relationship Id="rId20" Type="http://schemas.openxmlformats.org/officeDocument/2006/relationships/hyperlink" Target="https://zakon.rada.gov.ua/rada/show/504/96-%D0%B2%D1%80" TargetMode="External"/><Relationship Id="rId29" Type="http://schemas.openxmlformats.org/officeDocument/2006/relationships/hyperlink" Target="https://zakon.rada.gov.ua/rada/show/640-2017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0129859-21" TargetMode="External"/><Relationship Id="rId11" Type="http://schemas.openxmlformats.org/officeDocument/2006/relationships/hyperlink" Target="https://zakon.rada.gov.ua/rada/show/889-19" TargetMode="External"/><Relationship Id="rId24" Type="http://schemas.openxmlformats.org/officeDocument/2006/relationships/hyperlink" Target="https://zakon.rada.gov.ua/rada/show/640-2017-%D0%BF" TargetMode="External"/><Relationship Id="rId32" Type="http://schemas.openxmlformats.org/officeDocument/2006/relationships/hyperlink" Target="https://zakon.rada.gov.ua/rada/show/640-2017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rada/show/640-2017-%D0%BF" TargetMode="External"/><Relationship Id="rId23" Type="http://schemas.openxmlformats.org/officeDocument/2006/relationships/hyperlink" Target="https://zakon.rada.gov.ua/rada/show/v0129859-21" TargetMode="External"/><Relationship Id="rId28" Type="http://schemas.openxmlformats.org/officeDocument/2006/relationships/hyperlink" Target="https://zakon.rada.gov.ua/rada/show/640-2017-%D0%BF" TargetMode="External"/><Relationship Id="rId10" Type="http://schemas.openxmlformats.org/officeDocument/2006/relationships/hyperlink" Target="https://zakon.rada.gov.ua/rada/show/640-2017-%D0%BF" TargetMode="External"/><Relationship Id="rId19" Type="http://schemas.openxmlformats.org/officeDocument/2006/relationships/hyperlink" Target="https://zakon.rada.gov.ua/rada/show/640-2017-%D0%BF" TargetMode="External"/><Relationship Id="rId31" Type="http://schemas.openxmlformats.org/officeDocument/2006/relationships/hyperlink" Target="https://zakon.rada.gov.ua/rada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0129859-21" TargetMode="External"/><Relationship Id="rId14" Type="http://schemas.openxmlformats.org/officeDocument/2006/relationships/hyperlink" Target="https://zakon.rada.gov.ua/rada/show/v0129859-21" TargetMode="External"/><Relationship Id="rId22" Type="http://schemas.openxmlformats.org/officeDocument/2006/relationships/hyperlink" Target="https://zakon.rada.gov.ua/rada/show/504/96-%D0%B2%D1%80" TargetMode="External"/><Relationship Id="rId27" Type="http://schemas.openxmlformats.org/officeDocument/2006/relationships/hyperlink" Target="https://zakon.rada.gov.ua/rada/show/640-2017-%D0%BF" TargetMode="External"/><Relationship Id="rId30" Type="http://schemas.openxmlformats.org/officeDocument/2006/relationships/hyperlink" Target="https://zakon.rada.gov.ua/rada/show/640-2017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5203</Words>
  <Characters>29663</Characters>
  <Application>Microsoft Office Word</Application>
  <DocSecurity>0</DocSecurity>
  <Lines>247</Lines>
  <Paragraphs>69</Paragraphs>
  <ScaleCrop>false</ScaleCrop>
  <Company/>
  <LinksUpToDate>false</LinksUpToDate>
  <CharactersWithSpaces>34797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Козар</dc:creator>
  <cp:keywords/>
  <dc:description/>
  <cp:lastModifiedBy>Світлана Козар</cp:lastModifiedBy>
  <cp:revision>2</cp:revision>
  <dcterms:created xsi:type="dcterms:W3CDTF">2022-11-07T15:35:00Z</dcterms:created>
  <dcterms:modified xsi:type="dcterms:W3CDTF">2022-11-07T15:35:00Z</dcterms:modified>
</cp:coreProperties>
</file>