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6AA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>ОПИС ВАКАНТНОЇ ПОСАДИ</w:t>
      </w:r>
    </w:p>
    <w:p w14:paraId="00B993F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 xml:space="preserve"> державної служби категорії «В» -</w:t>
      </w:r>
    </w:p>
    <w:p w14:paraId="23F336AE" w14:textId="3CA4F76A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u w:val="single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спеціаліста </w:t>
      </w:r>
      <w:r w:rsidR="009B6EC3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Кременецької окружної прокуратури</w:t>
      </w:r>
    </w:p>
    <w:p w14:paraId="47B6432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 w:bidi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CD628B" w:rsidRPr="00CD628B" w14:paraId="38FCC071" w14:textId="77777777" w:rsidTr="001877B2">
        <w:trPr>
          <w:trHeight w:val="339"/>
        </w:trPr>
        <w:tc>
          <w:tcPr>
            <w:tcW w:w="9640" w:type="dxa"/>
            <w:gridSpan w:val="3"/>
            <w:vAlign w:val="center"/>
          </w:tcPr>
          <w:p w14:paraId="363C0E48" w14:textId="77777777" w:rsidR="00CD628B" w:rsidRPr="00CD628B" w:rsidRDefault="00CD628B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Загальні умови</w:t>
            </w:r>
          </w:p>
        </w:tc>
      </w:tr>
      <w:tr w:rsidR="00D22C45" w:rsidRPr="00CD628B" w14:paraId="2A39F4B7" w14:textId="77777777" w:rsidTr="00E55A2C">
        <w:trPr>
          <w:trHeight w:val="3407"/>
        </w:trPr>
        <w:tc>
          <w:tcPr>
            <w:tcW w:w="3330" w:type="dxa"/>
            <w:gridSpan w:val="2"/>
          </w:tcPr>
          <w:p w14:paraId="536F723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Посадові обов’язки </w:t>
            </w:r>
          </w:p>
        </w:tc>
        <w:tc>
          <w:tcPr>
            <w:tcW w:w="6310" w:type="dxa"/>
            <w:vAlign w:val="center"/>
          </w:tcPr>
          <w:p w14:paraId="7A7EF3A2" w14:textId="15052B95" w:rsidR="00D22C45" w:rsidRPr="00D22C45" w:rsidRDefault="00D22C45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рийма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вхідн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та вихідн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кореспонденці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, перевір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наявн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документів, сортува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, реєстр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інформаційній системі «Система електронного документообігу органів прокуратури України» - (далі ІС «СЕД») з дотриманням вимог Тимчасової Інструкції з діловодства в органах прокуратур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України;</w:t>
            </w:r>
          </w:p>
          <w:p w14:paraId="6C7AC2E2" w14:textId="1AB64014" w:rsidR="00D22C45" w:rsidRPr="00D22C45" w:rsidRDefault="00D22C45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воєчасн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що надійшли керівнику окружної  прокуратури  в паперовому вигляді та працівникам прокуратури на розгляд та виконання, з дотриманням контролю і моніторингу за виконавською дисципліною при виконанні завдань 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оручень;</w:t>
            </w:r>
          </w:p>
          <w:p w14:paraId="4732765C" w14:textId="1A97B537" w:rsidR="00D22C45" w:rsidRPr="00D22C45" w:rsidRDefault="00D22C45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та формува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за вказівкою керівництва та прокурорів окружної прокуратури наглядов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за кримінальним провадженнями, зверненнями та позовами з обов’язковою реєстрацією їх у ІС СЕД з подальшим долученням копій документів до них та формуванням архівного фонду окружної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C6891" w14:textId="27899ED2" w:rsidR="00D22C45" w:rsidRPr="00D22C45" w:rsidRDefault="00D22C45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рийма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, реє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страція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 та опрац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ювання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вхідн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та вихідн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документацію з грифом "Для службового користування", формува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справ, здійсн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їх облік та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, формува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для зберігання в архіві окружної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5E681" w14:textId="3096DB9F" w:rsidR="00D22C45" w:rsidRPr="00D22C45" w:rsidRDefault="00D22C45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едення особових справ державних службовців та робітників окружної прокуратури,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обліку особових справ. Забезпеч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трудових книжок державних службовців та інших працівників, вн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змін, пов'язан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з трудовою діяльністю у трудові книжки, належне їх зберігання та видачу, ве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дення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обліку руху трудових книжок та вкладишів до них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23507" w14:textId="757EDE4A" w:rsidR="00D22C45" w:rsidRPr="00D22C45" w:rsidRDefault="006361EE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>отування проектів наказів керівника окружної прокуратури про призначення, переміщення, звільнення та надання відпусток державним службовцям та працівникам, що виконують функції з 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EFA6FC" w14:textId="5C091BA0" w:rsidR="00D22C45" w:rsidRPr="00D22C45" w:rsidRDefault="006361EE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>знайомл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>, за вказівкою керівника окружної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прокуратури з документами інформаційного та іншого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DC85B" w14:textId="1525E381" w:rsidR="00D22C45" w:rsidRPr="00D22C45" w:rsidRDefault="006361EE" w:rsidP="00D22C45">
            <w:pPr>
              <w:numPr>
                <w:ilvl w:val="0"/>
                <w:numId w:val="3"/>
              </w:numPr>
              <w:ind w:left="-35" w:firstLine="425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>абезпеч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D22C45"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надсилання документів, кримінальних проваджень через відділення поштового зв’язку та Тернопільський обласний вузол спеціального зв’язку Державного підприємства спеціального зв’язку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40A4F" w14:textId="77777777" w:rsidR="006361EE" w:rsidRDefault="006361EE" w:rsidP="006361EE">
            <w:pPr>
              <w:numPr>
                <w:ilvl w:val="0"/>
                <w:numId w:val="3"/>
              </w:numPr>
              <w:ind w:left="0" w:right="-81" w:firstLine="3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t>абезпеч</w:t>
            </w:r>
            <w:r w:rsidRPr="006361EE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обов’язків служби управління персоналом відповідно до ст.18 Закону України «Про державну службу» та  інш</w:t>
            </w:r>
            <w:r w:rsidRPr="006361E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t xml:space="preserve"> доручення керівника, 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заступника керівника окружної прокуратури та  працівників прокуратури у межах їх компетенції (друкування документів, тиражування та відправку, підбір наглядових проваджень тощо)</w:t>
            </w:r>
            <w:r w:rsidRPr="00636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6FFF8" w14:textId="76AFAEF5" w:rsidR="00D22C45" w:rsidRPr="006361EE" w:rsidRDefault="006361EE" w:rsidP="006361EE">
            <w:pPr>
              <w:numPr>
                <w:ilvl w:val="0"/>
                <w:numId w:val="3"/>
              </w:numPr>
              <w:ind w:left="0" w:right="-81" w:firstLine="3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t>ормування номенклатурних справ та наглядових проваджень відповідно до затвердженої номенклатури справ,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едення </w:t>
            </w:r>
            <w:r w:rsidR="00D22C45" w:rsidRPr="006361EE">
              <w:rPr>
                <w:rFonts w:ascii="Times New Roman" w:hAnsi="Times New Roman" w:cs="Times New Roman"/>
                <w:sz w:val="24"/>
                <w:szCs w:val="24"/>
              </w:rPr>
              <w:t>відібрання документів для підготовки акту для знищення,  як таких, що не мають культурної цінності та не внесених до НАФ.</w:t>
            </w:r>
          </w:p>
          <w:p w14:paraId="680BDD69" w14:textId="205ECB0A" w:rsidR="00D22C45" w:rsidRPr="00CD628B" w:rsidRDefault="00D22C45" w:rsidP="006361EE">
            <w:pPr>
              <w:numPr>
                <w:ilvl w:val="0"/>
                <w:numId w:val="3"/>
              </w:numPr>
              <w:ind w:left="0" w:firstLine="390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едення архівної справи та забезпечення інвентарного обліку справ та майна окружної прокуратури.  Складання табелю обліку робочого часу прокурорів, державних службовців та робітників</w:t>
            </w:r>
            <w:r w:rsidR="0063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45">
              <w:rPr>
                <w:rFonts w:ascii="Times New Roman" w:hAnsi="Times New Roman" w:cs="Times New Roman"/>
                <w:sz w:val="24"/>
                <w:szCs w:val="24"/>
              </w:rPr>
              <w:t>прокуратури. Ведення обліку використаної електроенергії, газу, води та побутових відходів та здійснення підготовки проектів відповідних актів.</w:t>
            </w:r>
          </w:p>
        </w:tc>
      </w:tr>
      <w:tr w:rsidR="00D22C45" w:rsidRPr="00CD628B" w14:paraId="61FEB797" w14:textId="77777777" w:rsidTr="001877B2">
        <w:trPr>
          <w:trHeight w:val="289"/>
        </w:trPr>
        <w:tc>
          <w:tcPr>
            <w:tcW w:w="3330" w:type="dxa"/>
            <w:gridSpan w:val="2"/>
          </w:tcPr>
          <w:p w14:paraId="0C6DD5B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Умови оплати праці </w:t>
            </w:r>
          </w:p>
        </w:tc>
        <w:tc>
          <w:tcPr>
            <w:tcW w:w="6310" w:type="dxa"/>
          </w:tcPr>
          <w:p w14:paraId="35AA5153" w14:textId="1BD93505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посадовий оклад, надбавки, доплати,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премії та компенсації відповідно до статей 50-52 Закону України «Про державну службу»,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Закону України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      2024 році»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.</w:t>
            </w:r>
          </w:p>
        </w:tc>
      </w:tr>
      <w:tr w:rsidR="00D22C45" w:rsidRPr="00CD628B" w14:paraId="04FD484A" w14:textId="77777777" w:rsidTr="001877B2">
        <w:trPr>
          <w:trHeight w:val="845"/>
        </w:trPr>
        <w:tc>
          <w:tcPr>
            <w:tcW w:w="3330" w:type="dxa"/>
            <w:gridSpan w:val="2"/>
          </w:tcPr>
          <w:p w14:paraId="03D5FEE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4D9C030" w14:textId="71A4F527" w:rsidR="00D22C45" w:rsidRPr="00CD628B" w:rsidRDefault="009B6E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троково, на період дії воєнного стану в Україні з граничним строком перебування на посаді не більше </w:t>
            </w:r>
            <w:r w:rsidR="00D22C4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12 місяців з дня припинення чи скасування воєнного стану.</w:t>
            </w:r>
          </w:p>
          <w:p w14:paraId="00AEA105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4663FD68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306D1DD4" w14:textId="77777777" w:rsidTr="001877B2">
        <w:tc>
          <w:tcPr>
            <w:tcW w:w="3330" w:type="dxa"/>
            <w:gridSpan w:val="2"/>
          </w:tcPr>
          <w:p w14:paraId="03CB051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1E8F24C4" w14:textId="3D1A1755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призначення на посаду на період дії воєнного стану;</w:t>
            </w:r>
          </w:p>
          <w:p w14:paraId="74822BC5" w14:textId="4E11D64D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резюме (відповідно до постанови КМУ від 25.03.2016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246);</w:t>
            </w:r>
          </w:p>
          <w:p w14:paraId="40D62A17" w14:textId="08426237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73198234" w14:textId="4B27ADA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паспорта </w:t>
            </w:r>
            <w:bookmarkStart w:id="1" w:name="n25"/>
            <w:bookmarkEnd w:id="1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громадянина України;</w:t>
            </w:r>
          </w:p>
          <w:p w14:paraId="34A4FA87" w14:textId="48435B3E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382BEDC7" w14:textId="301D1989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084DB1E1" w14:textId="414D6DC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трудової книжки;</w:t>
            </w:r>
          </w:p>
          <w:p w14:paraId="27ADBC43" w14:textId="63DA078B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8.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підтвердження подання декларації особи, уповноваженої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на виконання функцій держави або місцевого самоврядування, за минулий рік;</w:t>
            </w:r>
          </w:p>
          <w:p w14:paraId="240ACEC7" w14:textId="77777777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9.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заява, в якій повідомляє, що до неї не застосовуються заборони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визначені </w:t>
            </w:r>
            <w:hyperlink r:id="rId7" w:anchor="n13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частиною третьою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або </w:t>
            </w:r>
            <w:hyperlink r:id="rId8" w:anchor="n14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  <w:p w14:paraId="4F1C20AB" w14:textId="74094E39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 Закону України "Про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очищення влади»;                 </w:t>
            </w:r>
          </w:p>
          <w:p w14:paraId="051E2128" w14:textId="6E263C0A" w:rsidR="00D22C45" w:rsidRPr="00CD628B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10.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державний сертифікат про рівень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(за наявності).</w:t>
            </w:r>
          </w:p>
          <w:p w14:paraId="6FEAB79F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14:paraId="5BAE8670" w14:textId="0AB2BEBC" w:rsidR="006361EE" w:rsidRPr="006361EE" w:rsidRDefault="00D22C45" w:rsidP="0063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 приймаються 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</w:t>
            </w:r>
            <w:r w:rsidR="0063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560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bookmarkStart w:id="4" w:name="_GoBack"/>
            <w:bookmarkEnd w:id="4"/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63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листопада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2024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електронну адресу: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0" w:history="1">
              <w:r w:rsidR="006361EE" w:rsidRPr="00F347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kremenets@tern.gp.gov.ua</w:t>
              </w:r>
            </w:hyperlink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</w:t>
            </w:r>
          </w:p>
          <w:p w14:paraId="1A934287" w14:textId="17257A7F" w:rsidR="00D22C45" w:rsidRPr="00CD628B" w:rsidRDefault="00D22C45" w:rsidP="006361EE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адресою:   м. </w:t>
            </w:r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Кременець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</w:t>
            </w:r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Словацького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6C00F3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2C45" w:rsidRPr="00CD628B" w14:paraId="433B389A" w14:textId="77777777" w:rsidTr="0017306D">
        <w:trPr>
          <w:trHeight w:val="1423"/>
        </w:trPr>
        <w:tc>
          <w:tcPr>
            <w:tcW w:w="3330" w:type="dxa"/>
            <w:gridSpan w:val="2"/>
          </w:tcPr>
          <w:p w14:paraId="1CECE893" w14:textId="733364CA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6310" w:type="dxa"/>
          </w:tcPr>
          <w:p w14:paraId="47A317A2" w14:textId="6E751937" w:rsidR="00D22C45" w:rsidRPr="00CD628B" w:rsidRDefault="006361EE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Штурма Наталія Василівна</w:t>
            </w:r>
          </w:p>
          <w:p w14:paraId="56CE7F9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B01803F" w14:textId="361AC093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(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035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46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2-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23-43</w:t>
            </w:r>
          </w:p>
          <w:p w14:paraId="13A1DA2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56E0B01" w14:textId="77777777" w:rsidTr="001877B2">
        <w:tc>
          <w:tcPr>
            <w:tcW w:w="9640" w:type="dxa"/>
            <w:gridSpan w:val="3"/>
          </w:tcPr>
          <w:p w14:paraId="51F74064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Кваліфікаційні вимоги</w:t>
            </w:r>
          </w:p>
        </w:tc>
      </w:tr>
      <w:tr w:rsidR="00D22C45" w:rsidRPr="00CD628B" w14:paraId="71625AD2" w14:textId="77777777" w:rsidTr="001877B2">
        <w:tc>
          <w:tcPr>
            <w:tcW w:w="675" w:type="dxa"/>
          </w:tcPr>
          <w:p w14:paraId="39A8F4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21BB11EE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Освіта</w:t>
            </w:r>
          </w:p>
        </w:tc>
        <w:tc>
          <w:tcPr>
            <w:tcW w:w="6310" w:type="dxa"/>
          </w:tcPr>
          <w:p w14:paraId="20AB943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0"/>
                <w:szCs w:val="10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uk-UA"/>
              </w:rPr>
              <w:t xml:space="preserve">вища освіта не нижче ступеня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бакалавра, молодшого бакалавра </w:t>
            </w:r>
          </w:p>
        </w:tc>
      </w:tr>
      <w:tr w:rsidR="00D22C45" w:rsidRPr="00CD628B" w14:paraId="7522A77B" w14:textId="77777777" w:rsidTr="001877B2">
        <w:tc>
          <w:tcPr>
            <w:tcW w:w="675" w:type="dxa"/>
          </w:tcPr>
          <w:p w14:paraId="65431D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5AD94B8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Досвід роботи </w:t>
            </w:r>
          </w:p>
        </w:tc>
        <w:tc>
          <w:tcPr>
            <w:tcW w:w="6310" w:type="dxa"/>
          </w:tcPr>
          <w:p w14:paraId="5D327E43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не потребує</w:t>
            </w:r>
          </w:p>
        </w:tc>
      </w:tr>
      <w:tr w:rsidR="00D22C45" w:rsidRPr="00CD628B" w14:paraId="74E8815D" w14:textId="77777777" w:rsidTr="001877B2">
        <w:trPr>
          <w:trHeight w:val="583"/>
        </w:trPr>
        <w:tc>
          <w:tcPr>
            <w:tcW w:w="675" w:type="dxa"/>
          </w:tcPr>
          <w:p w14:paraId="4D7FFD0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421B3D14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Володіння державною </w:t>
            </w:r>
          </w:p>
          <w:p w14:paraId="2A02F6F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мовою</w:t>
            </w:r>
          </w:p>
        </w:tc>
        <w:tc>
          <w:tcPr>
            <w:tcW w:w="6310" w:type="dxa"/>
          </w:tcPr>
          <w:p w14:paraId="4EC84A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вільне володіння державною мовою</w:t>
            </w:r>
          </w:p>
        </w:tc>
      </w:tr>
      <w:tr w:rsidR="00D22C45" w:rsidRPr="00CD628B" w14:paraId="1D88AAD0" w14:textId="77777777" w:rsidTr="001877B2">
        <w:tc>
          <w:tcPr>
            <w:tcW w:w="9640" w:type="dxa"/>
            <w:gridSpan w:val="3"/>
            <w:vAlign w:val="center"/>
          </w:tcPr>
          <w:p w14:paraId="16B7AFEB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Вимоги до компетентності</w:t>
            </w:r>
          </w:p>
          <w:p w14:paraId="1FE489D6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</w:tr>
      <w:tr w:rsidR="00D22C45" w:rsidRPr="00CD628B" w14:paraId="0016F4CC" w14:textId="77777777" w:rsidTr="001877B2">
        <w:tc>
          <w:tcPr>
            <w:tcW w:w="675" w:type="dxa"/>
          </w:tcPr>
          <w:p w14:paraId="1F0DBFC3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55" w:type="dxa"/>
          </w:tcPr>
          <w:p w14:paraId="6D82594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  <w:p w14:paraId="3CA7F6E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  <w:tc>
          <w:tcPr>
            <w:tcW w:w="6310" w:type="dxa"/>
          </w:tcPr>
          <w:p w14:paraId="12B7A40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  <w:p w14:paraId="2A1B9B0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090454C3" w14:textId="77777777" w:rsidTr="001877B2">
        <w:tc>
          <w:tcPr>
            <w:tcW w:w="675" w:type="dxa"/>
          </w:tcPr>
          <w:p w14:paraId="0BB9F1C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777C431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Багатозадачність</w:t>
            </w:r>
          </w:p>
        </w:tc>
        <w:tc>
          <w:tcPr>
            <w:tcW w:w="6310" w:type="dxa"/>
          </w:tcPr>
          <w:p w14:paraId="41277484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21ADB7B5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рівня відповідальності під час підготовки і прийняття рішень;</w:t>
            </w:r>
          </w:p>
          <w:p w14:paraId="724981C5" w14:textId="5A1BAAD8" w:rsidR="00D22C45" w:rsidRPr="0017306D" w:rsidRDefault="00D22C45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– здатність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брати на себе зобов’язання, чітко їх дотримуватись і виконувати.</w:t>
            </w:r>
          </w:p>
        </w:tc>
      </w:tr>
      <w:tr w:rsidR="00D22C45" w:rsidRPr="00CD628B" w14:paraId="0CD3C1F3" w14:textId="77777777" w:rsidTr="001877B2">
        <w:tc>
          <w:tcPr>
            <w:tcW w:w="675" w:type="dxa"/>
          </w:tcPr>
          <w:p w14:paraId="0634696D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23BD30FF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Якісне виконання поставлених завдань</w:t>
            </w:r>
          </w:p>
        </w:tc>
        <w:tc>
          <w:tcPr>
            <w:tcW w:w="6310" w:type="dxa"/>
          </w:tcPr>
          <w:p w14:paraId="2C0D7B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чітке і точне формулювання мети, цілей і завдань службової діяльності; </w:t>
            </w:r>
          </w:p>
          <w:p w14:paraId="1C48E2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комплексний підхід до виконання завдань, виявлення ризиків; </w:t>
            </w:r>
          </w:p>
          <w:p w14:paraId="332731E1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14:paraId="01B1609B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00C7AF2" w14:textId="77777777" w:rsidTr="001877B2">
        <w:trPr>
          <w:trHeight w:val="1281"/>
        </w:trPr>
        <w:tc>
          <w:tcPr>
            <w:tcW w:w="675" w:type="dxa"/>
          </w:tcPr>
          <w:p w14:paraId="32C43E2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2D9040F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Самоорганізація та самостійність в роботі</w:t>
            </w:r>
          </w:p>
        </w:tc>
        <w:tc>
          <w:tcPr>
            <w:tcW w:w="6310" w:type="dxa"/>
          </w:tcPr>
          <w:p w14:paraId="1218E4D0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600ECDAC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здатність до самомотивації (самоуправління);</w:t>
            </w:r>
          </w:p>
          <w:p w14:paraId="32F53A55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вміння самостійно приймати рішення і виконувати завдання у процесі професійної діяльності.</w:t>
            </w:r>
          </w:p>
          <w:p w14:paraId="04CB8DD3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2C45" w:rsidRPr="00CD628B" w14:paraId="0E2CDEBA" w14:textId="77777777" w:rsidTr="001877B2">
        <w:trPr>
          <w:trHeight w:val="1281"/>
        </w:trPr>
        <w:tc>
          <w:tcPr>
            <w:tcW w:w="675" w:type="dxa"/>
          </w:tcPr>
          <w:p w14:paraId="49D55E9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4.</w:t>
            </w:r>
          </w:p>
        </w:tc>
        <w:tc>
          <w:tcPr>
            <w:tcW w:w="2655" w:type="dxa"/>
          </w:tcPr>
          <w:p w14:paraId="199ACE6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Відповідальність</w:t>
            </w:r>
          </w:p>
        </w:tc>
        <w:tc>
          <w:tcPr>
            <w:tcW w:w="6310" w:type="dxa"/>
          </w:tcPr>
          <w:p w14:paraId="62ED0F72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7673F0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14:paraId="4A4A8AC4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здатність брати на себе зобов’язання, чітко їх дотримуватись і виконувати.</w:t>
            </w:r>
          </w:p>
          <w:p w14:paraId="28BA4D1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EEBB596" w14:textId="77777777" w:rsidTr="001877B2">
        <w:tc>
          <w:tcPr>
            <w:tcW w:w="9640" w:type="dxa"/>
            <w:gridSpan w:val="3"/>
          </w:tcPr>
          <w:p w14:paraId="6A6937D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  <w:p w14:paraId="61905519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Професійні знання</w:t>
            </w:r>
          </w:p>
          <w:p w14:paraId="791D950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2B533315" w14:textId="77777777" w:rsidTr="001877B2">
        <w:trPr>
          <w:trHeight w:val="303"/>
        </w:trPr>
        <w:tc>
          <w:tcPr>
            <w:tcW w:w="675" w:type="dxa"/>
          </w:tcPr>
          <w:p w14:paraId="33A23F9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726E66AF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106637D2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</w:tc>
        <w:tc>
          <w:tcPr>
            <w:tcW w:w="2655" w:type="dxa"/>
          </w:tcPr>
          <w:p w14:paraId="3C782AA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</w:tc>
        <w:tc>
          <w:tcPr>
            <w:tcW w:w="6310" w:type="dxa"/>
          </w:tcPr>
          <w:p w14:paraId="6909782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</w:tc>
      </w:tr>
      <w:tr w:rsidR="00D22C45" w:rsidRPr="00CD628B" w14:paraId="35DF2B1A" w14:textId="77777777" w:rsidTr="001877B2">
        <w:trPr>
          <w:trHeight w:val="1511"/>
        </w:trPr>
        <w:tc>
          <w:tcPr>
            <w:tcW w:w="675" w:type="dxa"/>
          </w:tcPr>
          <w:p w14:paraId="31DB67F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49308FE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законодавства</w:t>
            </w:r>
          </w:p>
        </w:tc>
        <w:tc>
          <w:tcPr>
            <w:tcW w:w="6310" w:type="dxa"/>
          </w:tcPr>
          <w:p w14:paraId="670D5F9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Знання:</w:t>
            </w:r>
          </w:p>
          <w:p w14:paraId="0719196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 України;</w:t>
            </w:r>
          </w:p>
          <w:p w14:paraId="68F0F77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державну службу»;</w:t>
            </w:r>
          </w:p>
          <w:p w14:paraId="7F53332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запобігання корупції» та іншого законодавства.</w:t>
            </w:r>
          </w:p>
        </w:tc>
      </w:tr>
      <w:tr w:rsidR="00D22C45" w:rsidRPr="00CD628B" w14:paraId="7135B50D" w14:textId="77777777" w:rsidTr="001877B2">
        <w:trPr>
          <w:trHeight w:val="289"/>
        </w:trPr>
        <w:tc>
          <w:tcPr>
            <w:tcW w:w="675" w:type="dxa"/>
          </w:tcPr>
          <w:p w14:paraId="4D8551B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0E9BFDE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1168FB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:</w:t>
            </w:r>
          </w:p>
          <w:p w14:paraId="038778F7" w14:textId="3B6A75A8" w:rsidR="00D22C45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прокуратуру»;</w:t>
            </w:r>
          </w:p>
          <w:p w14:paraId="7F38514D" w14:textId="3146176B" w:rsidR="00D22C45" w:rsidRPr="00CD628B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Регламенту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Тернопільської обласної прокуратури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7CC37392" w14:textId="0716C501" w:rsidR="00D22C45" w:rsidRPr="00BC2149" w:rsidRDefault="00D22C45" w:rsidP="006361E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Тимчасової інструкції з діловодства в органах прокуратури України, затвердженої наказом Генеральної прокуратури України в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ід 12.02.2019 № 27 (зі змінами).</w:t>
            </w:r>
          </w:p>
        </w:tc>
      </w:tr>
      <w:tr w:rsidR="00D22C45" w:rsidRPr="00CD628B" w14:paraId="7CE281B5" w14:textId="77777777" w:rsidTr="001877B2">
        <w:trPr>
          <w:trHeight w:val="289"/>
        </w:trPr>
        <w:tc>
          <w:tcPr>
            <w:tcW w:w="675" w:type="dxa"/>
          </w:tcPr>
          <w:p w14:paraId="346FAE3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3B7BE6A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1B4D3B24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особливостей роботи з документами в інформаційних системах електронного документообігу</w:t>
            </w:r>
          </w:p>
        </w:tc>
      </w:tr>
    </w:tbl>
    <w:p w14:paraId="1896EE59" w14:textId="77777777" w:rsidR="00CD628B" w:rsidRPr="00CD628B" w:rsidRDefault="00CD628B" w:rsidP="00CD628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6"/>
          <w:szCs w:val="6"/>
          <w:lang w:eastAsia="uk-UA" w:bidi="uk-UA"/>
        </w:rPr>
      </w:pPr>
    </w:p>
    <w:p w14:paraId="71428DE4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214A618F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8011880" w14:textId="16714EF7" w:rsidR="00CD628B" w:rsidRPr="00CD628B" w:rsidRDefault="009B6E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Кременецька окружна прокуратура</w:t>
      </w:r>
      <w:r w:rsidR="00CD628B" w:rsidRPr="00CD628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            </w:t>
      </w:r>
      <w:r w:rsidR="00CD628B" w:rsidRPr="00CD628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14:paraId="37F5C344" w14:textId="77777777" w:rsidR="00450F09" w:rsidRDefault="00450F09"/>
    <w:sectPr w:rsidR="00450F09" w:rsidSect="00EB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E825" w14:textId="77777777" w:rsidR="0030324B" w:rsidRDefault="0030324B">
      <w:pPr>
        <w:spacing w:after="0" w:line="240" w:lineRule="auto"/>
      </w:pPr>
      <w:r>
        <w:separator/>
      </w:r>
    </w:p>
  </w:endnote>
  <w:endnote w:type="continuationSeparator" w:id="0">
    <w:p w14:paraId="14C0CBDA" w14:textId="77777777" w:rsidR="0030324B" w:rsidRDefault="003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FF57" w14:textId="77777777" w:rsidR="0076449E" w:rsidRDefault="00560C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7CA05" w14:textId="77777777" w:rsidR="0076449E" w:rsidRDefault="00560C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002C" w14:textId="77777777" w:rsidR="0076449E" w:rsidRDefault="00560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6EF8" w14:textId="77777777" w:rsidR="0030324B" w:rsidRDefault="0030324B">
      <w:pPr>
        <w:spacing w:after="0" w:line="240" w:lineRule="auto"/>
      </w:pPr>
      <w:r>
        <w:separator/>
      </w:r>
    </w:p>
  </w:footnote>
  <w:footnote w:type="continuationSeparator" w:id="0">
    <w:p w14:paraId="5EC909FD" w14:textId="77777777" w:rsidR="0030324B" w:rsidRDefault="0030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ECD8" w14:textId="77777777" w:rsidR="0076449E" w:rsidRDefault="00560C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65F1C" w14:textId="3360512A" w:rsidR="0076449E" w:rsidRPr="0076449E" w:rsidRDefault="00061895">
        <w:pPr>
          <w:pStyle w:val="a3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9B6EC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56EB77A2" w14:textId="77777777" w:rsidR="0076449E" w:rsidRDefault="00560C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3F80" w14:textId="77777777" w:rsidR="0076449E" w:rsidRDefault="00560C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CC"/>
    <w:rsid w:val="00061895"/>
    <w:rsid w:val="0017306D"/>
    <w:rsid w:val="0030324B"/>
    <w:rsid w:val="00450F09"/>
    <w:rsid w:val="005036D7"/>
    <w:rsid w:val="00503BCC"/>
    <w:rsid w:val="00560C69"/>
    <w:rsid w:val="006361EE"/>
    <w:rsid w:val="00751E49"/>
    <w:rsid w:val="0080735C"/>
    <w:rsid w:val="009B6EC3"/>
    <w:rsid w:val="00BC2149"/>
    <w:rsid w:val="00CD628B"/>
    <w:rsid w:val="00D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0E3"/>
  <w15:chartTrackingRefBased/>
  <w15:docId w15:val="{70164D49-F805-4B74-8201-35747E5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Верхній колонтитул Знак"/>
    <w:basedOn w:val="a0"/>
    <w:link w:val="a3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ій колонтитул Знак"/>
    <w:basedOn w:val="a0"/>
    <w:link w:val="a5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List Paragraph"/>
    <w:basedOn w:val="a"/>
    <w:uiPriority w:val="34"/>
    <w:qFormat/>
    <w:rsid w:val="005036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306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7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emenets@tern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5136</Words>
  <Characters>2929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Козар</dc:creator>
  <cp:keywords/>
  <dc:description/>
  <cp:lastModifiedBy>Світлана Козар</cp:lastModifiedBy>
  <cp:revision>4</cp:revision>
  <cp:lastPrinted>2024-10-10T06:42:00Z</cp:lastPrinted>
  <dcterms:created xsi:type="dcterms:W3CDTF">2024-11-08T13:09:00Z</dcterms:created>
  <dcterms:modified xsi:type="dcterms:W3CDTF">2024-11-13T09:52:00Z</dcterms:modified>
</cp:coreProperties>
</file>